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BEECC" w14:textId="5D8DED54" w:rsidR="0099213D" w:rsidRDefault="0099213D" w:rsidP="00244544">
      <w:pPr>
        <w:widowControl w:val="0"/>
        <w:tabs>
          <w:tab w:val="left" w:pos="3245"/>
          <w:tab w:val="left" w:pos="9130"/>
        </w:tabs>
        <w:autoSpaceDE w:val="0"/>
        <w:autoSpaceDN w:val="0"/>
        <w:spacing w:after="0" w:line="240" w:lineRule="auto"/>
        <w:ind w:right="358"/>
        <w:rPr>
          <w:sz w:val="30"/>
          <w:szCs w:val="30"/>
        </w:rPr>
      </w:pPr>
    </w:p>
    <w:p w14:paraId="7AF06670" w14:textId="77777777" w:rsidR="0099213D" w:rsidRDefault="0099213D"/>
    <w:p w14:paraId="521CF1D8" w14:textId="77777777" w:rsidR="003F3CB7" w:rsidRPr="00AD4E28" w:rsidRDefault="003F3CB7" w:rsidP="003F3CB7">
      <w:pPr>
        <w:pStyle w:val="NoSpacing"/>
        <w:spacing w:line="360" w:lineRule="auto"/>
        <w:jc w:val="center"/>
        <w:rPr>
          <w:rFonts w:ascii="Trebuchet MS" w:eastAsia="Calibri" w:hAnsi="Trebuchet MS"/>
          <w:b/>
          <w:bCs/>
          <w:sz w:val="28"/>
          <w:szCs w:val="28"/>
        </w:rPr>
      </w:pPr>
      <w:r w:rsidRPr="00AD4E28">
        <w:rPr>
          <w:rFonts w:ascii="Trebuchet MS" w:eastAsia="Calibri" w:hAnsi="Trebuchet MS"/>
          <w:b/>
          <w:bCs/>
          <w:sz w:val="28"/>
          <w:szCs w:val="28"/>
        </w:rPr>
        <w:t>COMUNICAT DE PRESĂ</w:t>
      </w:r>
    </w:p>
    <w:p w14:paraId="3B76D545" w14:textId="77777777" w:rsidR="003F3CB7" w:rsidRDefault="003F3CB7" w:rsidP="003F3CB7">
      <w:pPr>
        <w:pStyle w:val="NoSpacing"/>
        <w:spacing w:line="360" w:lineRule="auto"/>
        <w:jc w:val="both"/>
        <w:rPr>
          <w:rFonts w:ascii="Trebuchet MS" w:eastAsia="Calibri" w:hAnsi="Trebuchet MS"/>
          <w:sz w:val="28"/>
          <w:szCs w:val="28"/>
        </w:rPr>
      </w:pPr>
    </w:p>
    <w:p w14:paraId="58E07DD3" w14:textId="775D6BCE" w:rsidR="003F3CB7" w:rsidRPr="003F3CB7" w:rsidRDefault="003F3CB7" w:rsidP="003F3CB7">
      <w:pPr>
        <w:pStyle w:val="NoSpacing"/>
        <w:spacing w:line="360" w:lineRule="auto"/>
        <w:jc w:val="both"/>
        <w:rPr>
          <w:rFonts w:ascii="Trebuchet MS" w:hAnsi="Trebuchet MS"/>
          <w:iCs/>
          <w:sz w:val="24"/>
          <w:szCs w:val="24"/>
        </w:rPr>
      </w:pPr>
      <w:r w:rsidRPr="003F3CB7">
        <w:rPr>
          <w:rFonts w:ascii="Trebuchet MS" w:eastAsia="Calibri" w:hAnsi="Trebuchet MS"/>
          <w:sz w:val="24"/>
          <w:szCs w:val="24"/>
        </w:rPr>
        <w:t xml:space="preserve">Ministerul Familiei, Tineretului și Egalității de Șanse a lansat în dezbatere </w:t>
      </w:r>
      <w:r w:rsidR="005675A3">
        <w:rPr>
          <w:rFonts w:ascii="Trebuchet MS" w:eastAsia="Calibri" w:hAnsi="Trebuchet MS"/>
          <w:sz w:val="24"/>
          <w:szCs w:val="24"/>
        </w:rPr>
        <w:t xml:space="preserve">publică </w:t>
      </w:r>
      <w:r w:rsidRPr="003F3CB7">
        <w:rPr>
          <w:rFonts w:ascii="Trebuchet MS" w:eastAsia="Calibri" w:hAnsi="Trebuchet MS"/>
          <w:sz w:val="24"/>
          <w:szCs w:val="24"/>
        </w:rPr>
        <w:t xml:space="preserve">Metodologia pentru </w:t>
      </w:r>
      <w:r w:rsidRPr="003F3CB7">
        <w:rPr>
          <w:rStyle w:val="PageNumber"/>
          <w:rFonts w:ascii="Trebuchet MS" w:hAnsi="Trebuchet MS" w:cs="Times New Roman"/>
          <w:sz w:val="24"/>
          <w:szCs w:val="24"/>
          <w:lang w:val="ro-RO"/>
        </w:rPr>
        <w:t xml:space="preserve">Concursul </w:t>
      </w:r>
      <w:r w:rsidRPr="003F3CB7">
        <w:rPr>
          <w:rStyle w:val="PageNumber"/>
          <w:rFonts w:ascii="Trebuchet MS" w:hAnsi="Trebuchet MS" w:cs="Times New Roman"/>
          <w:sz w:val="24"/>
          <w:szCs w:val="24"/>
        </w:rPr>
        <w:t>N</w:t>
      </w:r>
      <w:r w:rsidRPr="003F3CB7">
        <w:rPr>
          <w:rStyle w:val="PageNumber"/>
          <w:rFonts w:ascii="Trebuchet MS" w:hAnsi="Trebuchet MS" w:cs="Times New Roman"/>
          <w:sz w:val="24"/>
          <w:szCs w:val="24"/>
          <w:lang w:val="ro-RO"/>
        </w:rPr>
        <w:t>ațional de proiecte de tineret și studenți</w:t>
      </w:r>
      <w:r w:rsidRPr="003F3CB7">
        <w:rPr>
          <w:rStyle w:val="PageNumber"/>
          <w:rFonts w:ascii="Trebuchet MS" w:hAnsi="Trebuchet MS" w:cs="Times New Roman"/>
          <w:sz w:val="24"/>
          <w:szCs w:val="24"/>
        </w:rPr>
        <w:t xml:space="preserve"> și </w:t>
      </w:r>
      <w:r w:rsidRPr="003F3CB7">
        <w:rPr>
          <w:rFonts w:ascii="Trebuchet MS" w:hAnsi="Trebuchet MS"/>
          <w:iCs/>
          <w:sz w:val="24"/>
          <w:szCs w:val="24"/>
        </w:rPr>
        <w:t>Metodologia</w:t>
      </w:r>
      <w:r w:rsidRPr="003F3CB7">
        <w:rPr>
          <w:rFonts w:ascii="Trebuchet MS" w:hAnsi="Trebuchet MS"/>
          <w:b/>
          <w:bCs/>
          <w:i/>
          <w:color w:val="FF0000"/>
          <w:sz w:val="24"/>
          <w:szCs w:val="24"/>
        </w:rPr>
        <w:t xml:space="preserve"> </w:t>
      </w:r>
      <w:r w:rsidRPr="003F3CB7">
        <w:rPr>
          <w:rStyle w:val="Strong"/>
          <w:rFonts w:ascii="Trebuchet MS" w:hAnsi="Trebuchet MS"/>
          <w:b w:val="0"/>
          <w:iCs/>
          <w:color w:val="242424"/>
          <w:sz w:val="24"/>
          <w:szCs w:val="24"/>
        </w:rPr>
        <w:t xml:space="preserve">privind organizarea </w:t>
      </w:r>
      <w:r w:rsidRPr="003F3CB7">
        <w:rPr>
          <w:rFonts w:ascii="Trebuchet MS" w:hAnsi="Trebuchet MS"/>
          <w:iCs/>
          <w:sz w:val="24"/>
          <w:szCs w:val="24"/>
        </w:rPr>
        <w:t xml:space="preserve">taberelor studențești. </w:t>
      </w:r>
    </w:p>
    <w:p w14:paraId="3747E59D" w14:textId="77777777" w:rsidR="003F3CB7" w:rsidRPr="003F3CB7" w:rsidRDefault="003F3CB7" w:rsidP="003F3CB7">
      <w:pPr>
        <w:pStyle w:val="NoSpacing"/>
        <w:spacing w:line="360" w:lineRule="auto"/>
        <w:jc w:val="both"/>
        <w:rPr>
          <w:rStyle w:val="PageNumber"/>
          <w:rFonts w:ascii="Trebuchet MS" w:eastAsia="Calibri" w:hAnsi="Trebuchet MS"/>
          <w:sz w:val="24"/>
          <w:szCs w:val="24"/>
        </w:rPr>
      </w:pPr>
    </w:p>
    <w:p w14:paraId="5C408955" w14:textId="77777777" w:rsidR="003F3CB7" w:rsidRPr="003F3CB7" w:rsidRDefault="003F3CB7" w:rsidP="003F3CB7">
      <w:pPr>
        <w:pStyle w:val="NoSpacing"/>
        <w:spacing w:line="360" w:lineRule="auto"/>
        <w:jc w:val="both"/>
        <w:rPr>
          <w:rStyle w:val="PageNumber"/>
          <w:rFonts w:ascii="Trebuchet MS" w:eastAsia="Calibri" w:hAnsi="Trebuchet MS"/>
          <w:sz w:val="24"/>
          <w:szCs w:val="24"/>
        </w:rPr>
      </w:pPr>
      <w:r w:rsidRPr="003F3CB7">
        <w:rPr>
          <w:rStyle w:val="PageNumber"/>
          <w:rFonts w:ascii="Trebuchet MS" w:eastAsia="Calibri" w:hAnsi="Trebuchet MS"/>
          <w:sz w:val="24"/>
          <w:szCs w:val="24"/>
        </w:rPr>
        <w:t>Timp de 10 zile, cei interesați pot veni cu propuneri și sugestii privind cele două proiecte.</w:t>
      </w:r>
    </w:p>
    <w:p w14:paraId="32E15ECB" w14:textId="77777777" w:rsidR="003F3CB7" w:rsidRPr="003F3CB7" w:rsidRDefault="003F3CB7" w:rsidP="003F3CB7">
      <w:pPr>
        <w:pStyle w:val="NoSpacing"/>
        <w:spacing w:line="360" w:lineRule="auto"/>
        <w:jc w:val="both"/>
        <w:rPr>
          <w:rStyle w:val="PageNumber"/>
          <w:rFonts w:ascii="Trebuchet MS" w:eastAsia="Calibri" w:hAnsi="Trebuchet MS"/>
          <w:sz w:val="24"/>
          <w:szCs w:val="24"/>
        </w:rPr>
      </w:pPr>
    </w:p>
    <w:p w14:paraId="0AFE4E37" w14:textId="77777777" w:rsidR="003F3CB7" w:rsidRPr="003F3CB7" w:rsidRDefault="003F3CB7" w:rsidP="003F3CB7">
      <w:pPr>
        <w:pStyle w:val="NoSpacing"/>
        <w:spacing w:line="360" w:lineRule="auto"/>
        <w:jc w:val="both"/>
        <w:rPr>
          <w:rFonts w:ascii="Trebuchet MS" w:hAnsi="Trebuchet MS" w:cstheme="majorBidi"/>
          <w:b/>
          <w:bCs/>
          <w:sz w:val="24"/>
          <w:szCs w:val="24"/>
        </w:rPr>
      </w:pPr>
      <w:r w:rsidRPr="003F3CB7">
        <w:rPr>
          <w:rFonts w:ascii="Trebuchet MS" w:eastAsia="Calibri" w:hAnsi="Trebuchet MS" w:cs="Calibri"/>
          <w:b/>
          <w:bCs/>
          <w:sz w:val="24"/>
          <w:szCs w:val="24"/>
        </w:rPr>
        <w:t>Metodologia pentru Concursul Național de proiecte de tineret și studenți</w:t>
      </w:r>
    </w:p>
    <w:p w14:paraId="590B5DDC" w14:textId="77777777" w:rsidR="003F3CB7" w:rsidRPr="003F3CB7" w:rsidRDefault="003F3CB7" w:rsidP="003F3CB7">
      <w:pPr>
        <w:pStyle w:val="NoSpacing"/>
        <w:spacing w:line="360" w:lineRule="auto"/>
        <w:jc w:val="both"/>
        <w:rPr>
          <w:rFonts w:ascii="Trebuchet MS" w:eastAsia="Calibri" w:hAnsi="Trebuchet MS" w:cs="Calibri"/>
          <w:sz w:val="24"/>
          <w:szCs w:val="24"/>
        </w:rPr>
      </w:pPr>
    </w:p>
    <w:p w14:paraId="241C9E82" w14:textId="77777777" w:rsidR="003F3CB7" w:rsidRPr="003F3CB7" w:rsidRDefault="003F3CB7" w:rsidP="003F3CB7">
      <w:pPr>
        <w:pStyle w:val="NoSpacing"/>
        <w:spacing w:line="360" w:lineRule="auto"/>
        <w:jc w:val="both"/>
        <w:rPr>
          <w:rFonts w:ascii="Trebuchet MS" w:eastAsia="Calibri" w:hAnsi="Trebuchet MS" w:cs="Calibri"/>
          <w:sz w:val="24"/>
          <w:szCs w:val="24"/>
        </w:rPr>
      </w:pPr>
      <w:r w:rsidRPr="003F3CB7">
        <w:rPr>
          <w:rFonts w:ascii="Trebuchet MS" w:eastAsia="Calibri" w:hAnsi="Trebuchet MS" w:cs="Calibri"/>
          <w:sz w:val="24"/>
          <w:szCs w:val="24"/>
        </w:rPr>
        <w:t xml:space="preserve">Metodologia </w:t>
      </w:r>
      <w:bookmarkStart w:id="0" w:name="_Hlk125719077"/>
      <w:r w:rsidRPr="003F3CB7">
        <w:rPr>
          <w:rFonts w:ascii="Trebuchet MS" w:eastAsia="Calibri" w:hAnsi="Trebuchet MS" w:cs="Calibri"/>
          <w:sz w:val="24"/>
          <w:szCs w:val="24"/>
        </w:rPr>
        <w:t xml:space="preserve">pentru </w:t>
      </w:r>
      <w:bookmarkStart w:id="1" w:name="_Hlk134099625"/>
      <w:r w:rsidRPr="003F3CB7">
        <w:rPr>
          <w:rFonts w:ascii="Trebuchet MS" w:eastAsia="Calibri" w:hAnsi="Trebuchet MS" w:cs="Calibri"/>
          <w:sz w:val="24"/>
          <w:szCs w:val="24"/>
        </w:rPr>
        <w:t>Concursul Național de proiecte de tineret</w:t>
      </w:r>
      <w:bookmarkEnd w:id="0"/>
      <w:r w:rsidRPr="003F3CB7">
        <w:rPr>
          <w:rFonts w:ascii="Trebuchet MS" w:eastAsia="Calibri" w:hAnsi="Trebuchet MS" w:cs="Calibri"/>
          <w:sz w:val="24"/>
          <w:szCs w:val="24"/>
        </w:rPr>
        <w:t xml:space="preserve"> și studenți</w:t>
      </w:r>
      <w:bookmarkEnd w:id="1"/>
      <w:r w:rsidRPr="003F3CB7">
        <w:rPr>
          <w:rFonts w:ascii="Trebuchet MS" w:eastAsia="Calibri" w:hAnsi="Trebuchet MS" w:cs="Calibri"/>
          <w:sz w:val="24"/>
          <w:szCs w:val="24"/>
        </w:rPr>
        <w:t xml:space="preserve"> reglementează procedura privind atribuirea contractelor de finanţare nerambursabilă din fondurile publice, conform Legii nr. 350/2005 privind regimul finanțărilor nerambursabile din fonduri publice alocate pentru activități nonprofit de interes general, cu modificările și completările ulterioare, destinate activității de tineret și se aplică Concursului Național de proiecte de tineret și studenți, organizat la nivel național de către Ministerul Familiei, Tineretului și Egalității de Șanse. </w:t>
      </w:r>
    </w:p>
    <w:p w14:paraId="78F9B60B" w14:textId="77777777" w:rsidR="003F3CB7" w:rsidRPr="003F3CB7" w:rsidRDefault="003F3CB7" w:rsidP="003F3CB7">
      <w:pPr>
        <w:pStyle w:val="NoSpacing"/>
        <w:spacing w:line="360" w:lineRule="auto"/>
        <w:jc w:val="both"/>
        <w:rPr>
          <w:rFonts w:ascii="Trebuchet MS" w:eastAsia="Calibri" w:hAnsi="Trebuchet MS" w:cs="Calibri"/>
          <w:sz w:val="24"/>
          <w:szCs w:val="24"/>
        </w:rPr>
      </w:pPr>
    </w:p>
    <w:p w14:paraId="7DFA0ED1" w14:textId="51918952" w:rsidR="003F3CB7" w:rsidRPr="003F3CB7" w:rsidRDefault="003F3CB7" w:rsidP="003F3CB7">
      <w:pPr>
        <w:pStyle w:val="NoSpacing"/>
        <w:spacing w:line="360" w:lineRule="auto"/>
        <w:jc w:val="both"/>
        <w:rPr>
          <w:rFonts w:ascii="Trebuchet MS" w:hAnsi="Trebuchet MS" w:cs="Calibri"/>
          <w:sz w:val="24"/>
          <w:szCs w:val="24"/>
        </w:rPr>
      </w:pPr>
      <w:r w:rsidRPr="003F3CB7">
        <w:rPr>
          <w:rFonts w:ascii="Trebuchet MS" w:eastAsia="Calibri" w:hAnsi="Trebuchet MS" w:cs="Calibri"/>
          <w:sz w:val="24"/>
          <w:szCs w:val="24"/>
        </w:rPr>
        <w:t>Prioritățile, perioada de desfășurare a Concursului și limita sumei acordate pentru fiecare proiect sunt cuprinse în Anunțul de participare.</w:t>
      </w:r>
    </w:p>
    <w:p w14:paraId="059287A3" w14:textId="77777777" w:rsidR="003F3CB7" w:rsidRPr="003F3CB7" w:rsidRDefault="003F3CB7" w:rsidP="003F3CB7">
      <w:pPr>
        <w:pStyle w:val="NoSpacing"/>
        <w:spacing w:line="360" w:lineRule="auto"/>
        <w:jc w:val="both"/>
        <w:rPr>
          <w:rFonts w:ascii="Trebuchet MS" w:eastAsia="Calibri" w:hAnsi="Trebuchet MS" w:cs="Calibri"/>
          <w:sz w:val="24"/>
          <w:szCs w:val="24"/>
        </w:rPr>
      </w:pPr>
    </w:p>
    <w:p w14:paraId="1347EABF" w14:textId="7D176534" w:rsidR="003F3CB7" w:rsidRPr="003F3CB7" w:rsidRDefault="003F3CB7" w:rsidP="003F3CB7">
      <w:pPr>
        <w:pStyle w:val="NoSpacing"/>
        <w:spacing w:line="360" w:lineRule="auto"/>
        <w:jc w:val="both"/>
        <w:rPr>
          <w:rFonts w:ascii="Trebuchet MS" w:hAnsi="Trebuchet MS" w:cs="Calibri"/>
          <w:sz w:val="24"/>
          <w:szCs w:val="24"/>
        </w:rPr>
      </w:pPr>
      <w:r w:rsidRPr="003F3CB7">
        <w:rPr>
          <w:rFonts w:ascii="Trebuchet MS" w:eastAsia="Calibri" w:hAnsi="Trebuchet MS" w:cs="Calibri"/>
          <w:sz w:val="24"/>
          <w:szCs w:val="24"/>
        </w:rPr>
        <w:t xml:space="preserve">Solicitanții trebuie să fie structuri neguvernamentale de tineret și pentru tineret, așa cum sunt definite în Capitolul al III-lea din Legea Tinerilor nr. 350/2006, care desfășoară proiecte/ activități pentru tineri/ studenți, conform extrasului din Registrul special al Asociațiilor și Fundațiilor/ Certificat de grefă, completate de statutul înregistrat la instanță, respectiv Regulamentul intern de organizare și funcționare, în cazul Fundației Naționale pentru Tineret și a fundațiilor județene pentru tineret și a Municipiului București. </w:t>
      </w:r>
    </w:p>
    <w:p w14:paraId="49056D4A" w14:textId="77777777" w:rsidR="003F3CB7" w:rsidRPr="003F3CB7" w:rsidRDefault="003F3CB7" w:rsidP="003F3CB7">
      <w:pPr>
        <w:pStyle w:val="NoSpacing"/>
        <w:spacing w:line="360" w:lineRule="auto"/>
        <w:jc w:val="both"/>
        <w:rPr>
          <w:rFonts w:ascii="Trebuchet MS" w:hAnsi="Trebuchet MS"/>
          <w:b/>
          <w:bCs/>
          <w:i/>
          <w:sz w:val="24"/>
          <w:szCs w:val="24"/>
        </w:rPr>
      </w:pPr>
    </w:p>
    <w:p w14:paraId="61F964A2" w14:textId="77777777" w:rsidR="003F3CB7" w:rsidRDefault="003F3CB7" w:rsidP="003F3CB7">
      <w:pPr>
        <w:pStyle w:val="NoSpacing"/>
        <w:rPr>
          <w:rFonts w:ascii="Trebuchet MS" w:hAnsi="Trebuchet MS"/>
          <w:b/>
          <w:bCs/>
          <w:sz w:val="24"/>
          <w:szCs w:val="24"/>
        </w:rPr>
      </w:pPr>
    </w:p>
    <w:p w14:paraId="25FE2E53" w14:textId="77777777" w:rsidR="003F3CB7" w:rsidRDefault="003F3CB7" w:rsidP="003F3CB7">
      <w:pPr>
        <w:pStyle w:val="NoSpacing"/>
        <w:rPr>
          <w:rFonts w:ascii="Trebuchet MS" w:hAnsi="Trebuchet MS"/>
          <w:b/>
          <w:bCs/>
          <w:sz w:val="24"/>
          <w:szCs w:val="24"/>
        </w:rPr>
      </w:pPr>
    </w:p>
    <w:p w14:paraId="7D6562A1" w14:textId="77777777" w:rsidR="003F3CB7" w:rsidRDefault="003F3CB7" w:rsidP="003F3CB7">
      <w:pPr>
        <w:pStyle w:val="NoSpacing"/>
        <w:rPr>
          <w:rFonts w:ascii="Trebuchet MS" w:hAnsi="Trebuchet MS"/>
          <w:b/>
          <w:bCs/>
          <w:sz w:val="24"/>
          <w:szCs w:val="24"/>
        </w:rPr>
      </w:pPr>
    </w:p>
    <w:p w14:paraId="703E89CB" w14:textId="3585C375" w:rsidR="003F3CB7" w:rsidRPr="003F3CB7" w:rsidRDefault="003F3CB7" w:rsidP="003F3CB7">
      <w:pPr>
        <w:pStyle w:val="NoSpacing"/>
        <w:jc w:val="center"/>
        <w:rPr>
          <w:rFonts w:ascii="Trebuchet MS" w:hAnsi="Trebuchet MS"/>
          <w:b/>
          <w:bCs/>
          <w:sz w:val="24"/>
          <w:szCs w:val="24"/>
        </w:rPr>
      </w:pPr>
      <w:r w:rsidRPr="003F3CB7">
        <w:rPr>
          <w:rFonts w:ascii="Trebuchet MS" w:hAnsi="Trebuchet MS"/>
          <w:b/>
          <w:bCs/>
          <w:sz w:val="24"/>
          <w:szCs w:val="24"/>
        </w:rPr>
        <w:t xml:space="preserve">Metodologia </w:t>
      </w:r>
      <w:r w:rsidRPr="003F3CB7">
        <w:rPr>
          <w:rStyle w:val="Strong"/>
          <w:rFonts w:ascii="Trebuchet MS" w:hAnsi="Trebuchet MS"/>
          <w:sz w:val="24"/>
          <w:szCs w:val="24"/>
        </w:rPr>
        <w:t>privind organizarea</w:t>
      </w:r>
      <w:r w:rsidRPr="003F3CB7">
        <w:rPr>
          <w:rStyle w:val="Strong"/>
          <w:rFonts w:ascii="Trebuchet MS" w:hAnsi="Trebuchet MS"/>
          <w:b w:val="0"/>
          <w:bCs/>
          <w:sz w:val="24"/>
          <w:szCs w:val="24"/>
        </w:rPr>
        <w:t xml:space="preserve"> </w:t>
      </w:r>
      <w:r w:rsidRPr="003F3CB7">
        <w:rPr>
          <w:rFonts w:ascii="Trebuchet MS" w:hAnsi="Trebuchet MS"/>
          <w:b/>
          <w:bCs/>
          <w:sz w:val="24"/>
          <w:szCs w:val="24"/>
        </w:rPr>
        <w:t>taberelor studențești</w:t>
      </w:r>
    </w:p>
    <w:p w14:paraId="2A392FC0" w14:textId="77777777" w:rsidR="003F3CB7" w:rsidRPr="003F3CB7" w:rsidRDefault="003F3CB7" w:rsidP="003F3CB7">
      <w:pPr>
        <w:pStyle w:val="NoSpacing"/>
        <w:spacing w:line="360" w:lineRule="auto"/>
        <w:jc w:val="both"/>
        <w:rPr>
          <w:rFonts w:ascii="Trebuchet MS" w:hAnsi="Trebuchet MS"/>
          <w:sz w:val="24"/>
          <w:szCs w:val="24"/>
        </w:rPr>
      </w:pPr>
    </w:p>
    <w:p w14:paraId="6EE9AE17" w14:textId="77777777" w:rsidR="003F3CB7" w:rsidRPr="003F3CB7" w:rsidRDefault="003F3CB7" w:rsidP="003F3CB7">
      <w:pPr>
        <w:pStyle w:val="NoSpacing"/>
        <w:spacing w:line="360" w:lineRule="auto"/>
        <w:jc w:val="both"/>
        <w:rPr>
          <w:rFonts w:ascii="Trebuchet MS" w:hAnsi="Trebuchet MS"/>
          <w:sz w:val="24"/>
          <w:szCs w:val="24"/>
        </w:rPr>
      </w:pPr>
      <w:r w:rsidRPr="003F3CB7">
        <w:rPr>
          <w:rFonts w:ascii="Trebuchet MS" w:hAnsi="Trebuchet MS"/>
          <w:sz w:val="24"/>
          <w:szCs w:val="24"/>
        </w:rPr>
        <w:t xml:space="preserve">Ministerul </w:t>
      </w:r>
      <w:r w:rsidRPr="003F3CB7">
        <w:rPr>
          <w:rFonts w:ascii="Trebuchet MS" w:eastAsia="Times New Roman" w:hAnsi="Trebuchet MS"/>
          <w:sz w:val="24"/>
          <w:szCs w:val="24"/>
        </w:rPr>
        <w:t xml:space="preserve">Familiei, Tineretului și Egalității de Șanse </w:t>
      </w:r>
      <w:r w:rsidRPr="003F3CB7">
        <w:rPr>
          <w:rFonts w:ascii="Trebuchet MS" w:hAnsi="Trebuchet MS"/>
          <w:sz w:val="24"/>
          <w:szCs w:val="24"/>
        </w:rPr>
        <w:t>– Direcția Generală Tineret, organizează, prin Casele de Cultură ale Studenților și Complexul Cultural Sportiv Studențesc „TEI”, în perioada vacanțelor de vară și de iarnă, taberele studențești.</w:t>
      </w:r>
    </w:p>
    <w:p w14:paraId="15C8A44A" w14:textId="77777777" w:rsidR="003F3CB7" w:rsidRPr="003F3CB7" w:rsidRDefault="003F3CB7" w:rsidP="003F3CB7">
      <w:pPr>
        <w:pStyle w:val="NoSpacing"/>
        <w:spacing w:line="360" w:lineRule="auto"/>
        <w:jc w:val="both"/>
        <w:rPr>
          <w:rFonts w:ascii="Trebuchet MS" w:hAnsi="Trebuchet MS"/>
          <w:sz w:val="24"/>
          <w:szCs w:val="24"/>
        </w:rPr>
      </w:pPr>
    </w:p>
    <w:p w14:paraId="4D536EFE" w14:textId="77777777" w:rsidR="003F3CB7" w:rsidRPr="003F3CB7" w:rsidRDefault="003F3CB7" w:rsidP="003F3CB7">
      <w:pPr>
        <w:pStyle w:val="NoSpacing"/>
        <w:spacing w:line="360" w:lineRule="auto"/>
        <w:jc w:val="both"/>
        <w:rPr>
          <w:rFonts w:ascii="Trebuchet MS" w:hAnsi="Trebuchet MS"/>
          <w:sz w:val="24"/>
          <w:szCs w:val="24"/>
        </w:rPr>
      </w:pPr>
      <w:r w:rsidRPr="003F3CB7">
        <w:rPr>
          <w:rFonts w:ascii="Trebuchet MS" w:hAnsi="Trebuchet MS"/>
          <w:sz w:val="24"/>
          <w:szCs w:val="24"/>
        </w:rPr>
        <w:t>Studenții beneficiază de locuri gratuite în tabere în limita locurilor repartizate, în funcție de rezultatele obținute la învățătură și de activitatea depusă în cadru organizat la diverse manifestări culturale, artistice, științifice, sportive și de voluntariat, excepție făcând cazurile sociale. În perioada taberelor, studenții beneficiază în mod gratuit de cazare și masă.</w:t>
      </w:r>
    </w:p>
    <w:p w14:paraId="14D5E463" w14:textId="77777777" w:rsidR="003F3CB7" w:rsidRPr="003F3CB7" w:rsidRDefault="003F3CB7" w:rsidP="003F3CB7">
      <w:pPr>
        <w:pStyle w:val="NoSpacing"/>
        <w:spacing w:line="360" w:lineRule="auto"/>
        <w:jc w:val="both"/>
        <w:rPr>
          <w:rFonts w:ascii="Trebuchet MS" w:hAnsi="Trebuchet MS"/>
          <w:i/>
          <w:sz w:val="24"/>
          <w:szCs w:val="24"/>
        </w:rPr>
      </w:pPr>
      <w:r w:rsidRPr="003F3CB7">
        <w:rPr>
          <w:rFonts w:ascii="Trebuchet MS" w:hAnsi="Trebuchet MS"/>
          <w:sz w:val="24"/>
          <w:szCs w:val="24"/>
        </w:rPr>
        <w:t xml:space="preserve"> </w:t>
      </w:r>
    </w:p>
    <w:p w14:paraId="6CA762D5" w14:textId="77777777" w:rsidR="003F3CB7" w:rsidRPr="003F3CB7" w:rsidRDefault="003F3CB7" w:rsidP="003F3CB7">
      <w:pPr>
        <w:pStyle w:val="NoSpacing"/>
        <w:spacing w:line="360" w:lineRule="auto"/>
        <w:jc w:val="both"/>
        <w:rPr>
          <w:rFonts w:ascii="Trebuchet MS" w:hAnsi="Trebuchet MS"/>
          <w:sz w:val="24"/>
          <w:szCs w:val="24"/>
        </w:rPr>
      </w:pPr>
      <w:r w:rsidRPr="003F3CB7">
        <w:rPr>
          <w:rFonts w:ascii="Trebuchet MS" w:hAnsi="Trebuchet MS"/>
          <w:sz w:val="24"/>
          <w:szCs w:val="24"/>
        </w:rPr>
        <w:t xml:space="preserve">Taberele studențești organizate de MFTES se desfășoară la mare, la munte și în Delta Dunării, iar perioada de desfășurare a taberelor este structurată pe serii în perioada vacanțelor de vară sau de iarnă. </w:t>
      </w:r>
    </w:p>
    <w:p w14:paraId="50D030A0" w14:textId="77777777" w:rsidR="005675A3" w:rsidRDefault="005675A3" w:rsidP="005675A3">
      <w:pPr>
        <w:pStyle w:val="NoSpacing"/>
        <w:spacing w:line="360" w:lineRule="auto"/>
        <w:jc w:val="both"/>
        <w:rPr>
          <w:rFonts w:ascii="Trebuchet MS" w:hAnsi="Trebuchet MS"/>
          <w:sz w:val="28"/>
          <w:szCs w:val="28"/>
        </w:rPr>
      </w:pPr>
    </w:p>
    <w:p w14:paraId="5DE65160" w14:textId="77777777" w:rsidR="005675A3" w:rsidRPr="005675A3" w:rsidRDefault="005675A3" w:rsidP="005675A3">
      <w:pPr>
        <w:pStyle w:val="NoSpacing"/>
        <w:spacing w:line="360" w:lineRule="auto"/>
        <w:rPr>
          <w:rFonts w:ascii="Trebuchet MS" w:hAnsi="Trebuchet MS"/>
          <w:sz w:val="24"/>
          <w:szCs w:val="24"/>
        </w:rPr>
      </w:pPr>
      <w:r w:rsidRPr="005675A3">
        <w:rPr>
          <w:rFonts w:ascii="Trebuchet MS" w:hAnsi="Trebuchet MS"/>
          <w:sz w:val="24"/>
          <w:szCs w:val="24"/>
        </w:rPr>
        <w:t xml:space="preserve">Mai multe informații puteți găsi accesând link-ul: </w:t>
      </w:r>
      <w:hyperlink r:id="rId7" w:history="1">
        <w:r w:rsidRPr="005675A3">
          <w:rPr>
            <w:rStyle w:val="Hyperlink"/>
            <w:rFonts w:ascii="Trebuchet MS" w:hAnsi="Trebuchet MS"/>
            <w:sz w:val="24"/>
            <w:szCs w:val="24"/>
          </w:rPr>
          <w:t>https://mfamilie.gov.ro/1/proiecte-de-acte-normative-2</w:t>
        </w:r>
      </w:hyperlink>
    </w:p>
    <w:p w14:paraId="740BE57A" w14:textId="77777777" w:rsidR="003F3CB7" w:rsidRPr="005675A3" w:rsidRDefault="003F3CB7" w:rsidP="003F3CB7">
      <w:pPr>
        <w:rPr>
          <w:sz w:val="24"/>
          <w:szCs w:val="24"/>
        </w:rPr>
      </w:pPr>
    </w:p>
    <w:p w14:paraId="0653A173" w14:textId="77777777" w:rsidR="00EF04BF" w:rsidRDefault="00EF04BF"/>
    <w:sectPr w:rsidR="00EF04BF" w:rsidSect="0099213D">
      <w:headerReference w:type="default" r:id="rId8"/>
      <w:pgSz w:w="11906" w:h="16838" w:code="9"/>
      <w:pgMar w:top="1440" w:right="1440" w:bottom="1440" w:left="1440" w:header="3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CD7B4" w14:textId="77777777" w:rsidR="0014647C" w:rsidRDefault="0014647C" w:rsidP="0099213D">
      <w:pPr>
        <w:spacing w:after="0" w:line="240" w:lineRule="auto"/>
      </w:pPr>
      <w:r>
        <w:separator/>
      </w:r>
    </w:p>
  </w:endnote>
  <w:endnote w:type="continuationSeparator" w:id="0">
    <w:p w14:paraId="2D0D083C" w14:textId="77777777" w:rsidR="0014647C" w:rsidRDefault="0014647C" w:rsidP="00992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B2D9A" w14:textId="77777777" w:rsidR="0014647C" w:rsidRDefault="0014647C" w:rsidP="0099213D">
      <w:pPr>
        <w:spacing w:after="0" w:line="240" w:lineRule="auto"/>
      </w:pPr>
      <w:r>
        <w:separator/>
      </w:r>
    </w:p>
  </w:footnote>
  <w:footnote w:type="continuationSeparator" w:id="0">
    <w:p w14:paraId="35ABBBEC" w14:textId="77777777" w:rsidR="0014647C" w:rsidRDefault="0014647C" w:rsidP="00992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0C43" w14:textId="5C3C9635" w:rsidR="0099213D" w:rsidRDefault="0099213D">
    <w:pPr>
      <w:pStyle w:val="Header"/>
    </w:pPr>
    <w:r>
      <w:drawing>
        <wp:anchor distT="0" distB="0" distL="114300" distR="114300" simplePos="0" relativeHeight="251658240" behindDoc="1" locked="0" layoutInCell="1" allowOverlap="1" wp14:anchorId="1B5B469F" wp14:editId="242FC63C">
          <wp:simplePos x="0" y="0"/>
          <wp:positionH relativeFrom="column">
            <wp:posOffset>-219075</wp:posOffset>
          </wp:positionH>
          <wp:positionV relativeFrom="paragraph">
            <wp:posOffset>19050</wp:posOffset>
          </wp:positionV>
          <wp:extent cx="3952875" cy="902335"/>
          <wp:effectExtent l="0" t="0" r="9525" b="0"/>
          <wp:wrapTight wrapText="bothSides">
            <wp:wrapPolygon edited="0">
              <wp:start x="1457" y="0"/>
              <wp:lineTo x="729" y="1824"/>
              <wp:lineTo x="0" y="5472"/>
              <wp:lineTo x="0" y="15961"/>
              <wp:lineTo x="1353" y="20977"/>
              <wp:lineTo x="1666" y="20977"/>
              <wp:lineTo x="3227" y="20977"/>
              <wp:lineTo x="13949" y="15049"/>
              <wp:lineTo x="21548" y="14137"/>
              <wp:lineTo x="21548" y="5928"/>
              <wp:lineTo x="3435" y="0"/>
              <wp:lineTo x="1457" y="0"/>
            </wp:wrapPolygon>
          </wp:wrapTight>
          <wp:docPr id="147346623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2875" cy="90233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A12A3B"/>
    <w:multiLevelType w:val="hybridMultilevel"/>
    <w:tmpl w:val="BE94C778"/>
    <w:lvl w:ilvl="0" w:tplc="F32A59D6">
      <w:start w:val="20"/>
      <w:numFmt w:val="bullet"/>
      <w:lvlText w:val="-"/>
      <w:lvlJc w:val="left"/>
      <w:pPr>
        <w:ind w:left="467" w:hanging="360"/>
      </w:pPr>
      <w:rPr>
        <w:rFonts w:ascii="Book Antiqua" w:eastAsia="Trebuchet MS" w:hAnsi="Book Antiqua"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1" w15:restartNumberingAfterBreak="0">
    <w:nsid w:val="4CE83660"/>
    <w:multiLevelType w:val="hybridMultilevel"/>
    <w:tmpl w:val="C4DE045C"/>
    <w:lvl w:ilvl="0" w:tplc="8376CC54">
      <w:start w:val="1"/>
      <w:numFmt w:val="bullet"/>
      <w:lvlText w:val=""/>
      <w:lvlJc w:val="left"/>
      <w:pPr>
        <w:ind w:left="827" w:hanging="360"/>
      </w:pPr>
      <w:rPr>
        <w:rFonts w:ascii="Wingdings" w:hAnsi="Wingdings" w:hint="default"/>
        <w:color w:val="auto"/>
      </w:rPr>
    </w:lvl>
    <w:lvl w:ilvl="1" w:tplc="04180003" w:tentative="1">
      <w:start w:val="1"/>
      <w:numFmt w:val="bullet"/>
      <w:lvlText w:val="o"/>
      <w:lvlJc w:val="left"/>
      <w:pPr>
        <w:ind w:left="1547" w:hanging="360"/>
      </w:pPr>
      <w:rPr>
        <w:rFonts w:ascii="Courier New" w:hAnsi="Courier New" w:cs="Courier New" w:hint="default"/>
      </w:rPr>
    </w:lvl>
    <w:lvl w:ilvl="2" w:tplc="04180005" w:tentative="1">
      <w:start w:val="1"/>
      <w:numFmt w:val="bullet"/>
      <w:lvlText w:val=""/>
      <w:lvlJc w:val="left"/>
      <w:pPr>
        <w:ind w:left="2267" w:hanging="360"/>
      </w:pPr>
      <w:rPr>
        <w:rFonts w:ascii="Wingdings" w:hAnsi="Wingdings" w:hint="default"/>
      </w:rPr>
    </w:lvl>
    <w:lvl w:ilvl="3" w:tplc="04180001" w:tentative="1">
      <w:start w:val="1"/>
      <w:numFmt w:val="bullet"/>
      <w:lvlText w:val=""/>
      <w:lvlJc w:val="left"/>
      <w:pPr>
        <w:ind w:left="2987" w:hanging="360"/>
      </w:pPr>
      <w:rPr>
        <w:rFonts w:ascii="Symbol" w:hAnsi="Symbol" w:hint="default"/>
      </w:rPr>
    </w:lvl>
    <w:lvl w:ilvl="4" w:tplc="04180003" w:tentative="1">
      <w:start w:val="1"/>
      <w:numFmt w:val="bullet"/>
      <w:lvlText w:val="o"/>
      <w:lvlJc w:val="left"/>
      <w:pPr>
        <w:ind w:left="3707" w:hanging="360"/>
      </w:pPr>
      <w:rPr>
        <w:rFonts w:ascii="Courier New" w:hAnsi="Courier New" w:cs="Courier New" w:hint="default"/>
      </w:rPr>
    </w:lvl>
    <w:lvl w:ilvl="5" w:tplc="04180005" w:tentative="1">
      <w:start w:val="1"/>
      <w:numFmt w:val="bullet"/>
      <w:lvlText w:val=""/>
      <w:lvlJc w:val="left"/>
      <w:pPr>
        <w:ind w:left="4427" w:hanging="360"/>
      </w:pPr>
      <w:rPr>
        <w:rFonts w:ascii="Wingdings" w:hAnsi="Wingdings" w:hint="default"/>
      </w:rPr>
    </w:lvl>
    <w:lvl w:ilvl="6" w:tplc="04180001" w:tentative="1">
      <w:start w:val="1"/>
      <w:numFmt w:val="bullet"/>
      <w:lvlText w:val=""/>
      <w:lvlJc w:val="left"/>
      <w:pPr>
        <w:ind w:left="5147" w:hanging="360"/>
      </w:pPr>
      <w:rPr>
        <w:rFonts w:ascii="Symbol" w:hAnsi="Symbol" w:hint="default"/>
      </w:rPr>
    </w:lvl>
    <w:lvl w:ilvl="7" w:tplc="04180003" w:tentative="1">
      <w:start w:val="1"/>
      <w:numFmt w:val="bullet"/>
      <w:lvlText w:val="o"/>
      <w:lvlJc w:val="left"/>
      <w:pPr>
        <w:ind w:left="5867" w:hanging="360"/>
      </w:pPr>
      <w:rPr>
        <w:rFonts w:ascii="Courier New" w:hAnsi="Courier New" w:cs="Courier New" w:hint="default"/>
      </w:rPr>
    </w:lvl>
    <w:lvl w:ilvl="8" w:tplc="04180005" w:tentative="1">
      <w:start w:val="1"/>
      <w:numFmt w:val="bullet"/>
      <w:lvlText w:val=""/>
      <w:lvlJc w:val="left"/>
      <w:pPr>
        <w:ind w:left="6587" w:hanging="360"/>
      </w:pPr>
      <w:rPr>
        <w:rFonts w:ascii="Wingdings" w:hAnsi="Wingdings" w:hint="default"/>
      </w:rPr>
    </w:lvl>
  </w:abstractNum>
  <w:abstractNum w:abstractNumId="2" w15:restartNumberingAfterBreak="0">
    <w:nsid w:val="67062653"/>
    <w:multiLevelType w:val="hybridMultilevel"/>
    <w:tmpl w:val="E60E3924"/>
    <w:lvl w:ilvl="0" w:tplc="8376CC54">
      <w:start w:val="1"/>
      <w:numFmt w:val="bullet"/>
      <w:lvlText w:val=""/>
      <w:lvlJc w:val="left"/>
      <w:pPr>
        <w:ind w:left="1187" w:hanging="360"/>
      </w:pPr>
      <w:rPr>
        <w:rFonts w:ascii="Wingdings" w:hAnsi="Wingdings" w:hint="default"/>
        <w:color w:val="auto"/>
      </w:rPr>
    </w:lvl>
    <w:lvl w:ilvl="1" w:tplc="04090003" w:tentative="1">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3" w15:restartNumberingAfterBreak="0">
    <w:nsid w:val="6B5B5897"/>
    <w:multiLevelType w:val="hybridMultilevel"/>
    <w:tmpl w:val="EEBC491C"/>
    <w:lvl w:ilvl="0" w:tplc="9EEEBB60">
      <w:start w:val="22"/>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3C12CC"/>
    <w:multiLevelType w:val="hybridMultilevel"/>
    <w:tmpl w:val="B04A7CD2"/>
    <w:lvl w:ilvl="0" w:tplc="C1C8D220">
      <w:start w:val="13"/>
      <w:numFmt w:val="bullet"/>
      <w:lvlText w:val="-"/>
      <w:lvlJc w:val="left"/>
      <w:pPr>
        <w:ind w:left="467" w:hanging="360"/>
      </w:pPr>
      <w:rPr>
        <w:rFonts w:ascii="Book Antiqua" w:eastAsia="Trebuchet MS" w:hAnsi="Book Antiqua"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num w:numId="1" w16cid:durableId="1918707232">
    <w:abstractNumId w:val="1"/>
  </w:num>
  <w:num w:numId="2" w16cid:durableId="2034843745">
    <w:abstractNumId w:val="0"/>
  </w:num>
  <w:num w:numId="3" w16cid:durableId="1426421113">
    <w:abstractNumId w:val="2"/>
  </w:num>
  <w:num w:numId="4" w16cid:durableId="1798253119">
    <w:abstractNumId w:val="4"/>
  </w:num>
  <w:num w:numId="5" w16cid:durableId="1311666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13D"/>
    <w:rsid w:val="000250B7"/>
    <w:rsid w:val="000825AF"/>
    <w:rsid w:val="0014647C"/>
    <w:rsid w:val="00214C26"/>
    <w:rsid w:val="00244544"/>
    <w:rsid w:val="00352FD8"/>
    <w:rsid w:val="00374308"/>
    <w:rsid w:val="003F3CB7"/>
    <w:rsid w:val="00436DAC"/>
    <w:rsid w:val="004667CE"/>
    <w:rsid w:val="004E6858"/>
    <w:rsid w:val="005675A3"/>
    <w:rsid w:val="00583790"/>
    <w:rsid w:val="00615634"/>
    <w:rsid w:val="007B361E"/>
    <w:rsid w:val="008A5BEE"/>
    <w:rsid w:val="008E09C3"/>
    <w:rsid w:val="0099213D"/>
    <w:rsid w:val="009F23B1"/>
    <w:rsid w:val="00A176A0"/>
    <w:rsid w:val="00C73301"/>
    <w:rsid w:val="00C80E9B"/>
    <w:rsid w:val="00CB7383"/>
    <w:rsid w:val="00CE031F"/>
    <w:rsid w:val="00CE40F0"/>
    <w:rsid w:val="00EF04BF"/>
    <w:rsid w:val="00F93CF6"/>
    <w:rsid w:val="00FE39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3A73A"/>
  <w15:chartTrackingRefBased/>
  <w15:docId w15:val="{A0C1FBF7-C374-48BF-B9A2-4981F5FB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ro-RO"/>
    </w:rPr>
  </w:style>
  <w:style w:type="paragraph" w:styleId="Heading1">
    <w:name w:val="heading 1"/>
    <w:basedOn w:val="Normal"/>
    <w:next w:val="Normal"/>
    <w:link w:val="Heading1Char"/>
    <w:uiPriority w:val="9"/>
    <w:qFormat/>
    <w:rsid w:val="002445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2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213D"/>
    <w:rPr>
      <w:noProof/>
      <w:lang w:val="ro-RO"/>
    </w:rPr>
  </w:style>
  <w:style w:type="paragraph" w:styleId="Footer">
    <w:name w:val="footer"/>
    <w:basedOn w:val="Normal"/>
    <w:link w:val="FooterChar"/>
    <w:uiPriority w:val="99"/>
    <w:unhideWhenUsed/>
    <w:rsid w:val="00992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213D"/>
    <w:rPr>
      <w:noProof/>
      <w:lang w:val="ro-RO"/>
    </w:rPr>
  </w:style>
  <w:style w:type="table" w:styleId="TableGrid">
    <w:name w:val="Table Grid"/>
    <w:basedOn w:val="TableNormal"/>
    <w:uiPriority w:val="39"/>
    <w:rsid w:val="009921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99213D"/>
    <w:pPr>
      <w:widowControl w:val="0"/>
      <w:autoSpaceDE w:val="0"/>
      <w:autoSpaceDN w:val="0"/>
      <w:spacing w:after="0" w:line="240" w:lineRule="auto"/>
      <w:ind w:left="107"/>
    </w:pPr>
    <w:rPr>
      <w:rFonts w:ascii="Trebuchet MS" w:eastAsia="Trebuchet MS" w:hAnsi="Trebuchet MS" w:cs="Trebuchet MS"/>
      <w:kern w:val="0"/>
      <w14:ligatures w14:val="none"/>
    </w:rPr>
  </w:style>
  <w:style w:type="paragraph" w:styleId="ListParagraph">
    <w:name w:val="List Paragraph"/>
    <w:basedOn w:val="Normal"/>
    <w:uiPriority w:val="34"/>
    <w:qFormat/>
    <w:rsid w:val="0099213D"/>
    <w:pPr>
      <w:ind w:left="720"/>
      <w:contextualSpacing/>
    </w:pPr>
  </w:style>
  <w:style w:type="character" w:customStyle="1" w:styleId="Heading1Char">
    <w:name w:val="Heading 1 Char"/>
    <w:basedOn w:val="DefaultParagraphFont"/>
    <w:link w:val="Heading1"/>
    <w:uiPriority w:val="9"/>
    <w:rsid w:val="00244544"/>
    <w:rPr>
      <w:rFonts w:asciiTheme="majorHAnsi" w:eastAsiaTheme="majorEastAsia" w:hAnsiTheme="majorHAnsi" w:cstheme="majorBidi"/>
      <w:noProof/>
      <w:color w:val="2F5496" w:themeColor="accent1" w:themeShade="BF"/>
      <w:sz w:val="32"/>
      <w:szCs w:val="32"/>
      <w:lang w:val="ro-RO"/>
    </w:rPr>
  </w:style>
  <w:style w:type="paragraph" w:styleId="NoSpacing">
    <w:name w:val="No Spacing"/>
    <w:uiPriority w:val="1"/>
    <w:qFormat/>
    <w:rsid w:val="004667CE"/>
    <w:pPr>
      <w:spacing w:after="0" w:line="240" w:lineRule="auto"/>
    </w:pPr>
    <w:rPr>
      <w:noProof/>
      <w:lang w:val="ro-RO"/>
    </w:rPr>
  </w:style>
  <w:style w:type="character" w:styleId="PageNumber">
    <w:name w:val="page number"/>
    <w:rsid w:val="003F3CB7"/>
    <w:rPr>
      <w:lang w:val="fr-FR"/>
    </w:rPr>
  </w:style>
  <w:style w:type="character" w:styleId="Strong">
    <w:name w:val="Strong"/>
    <w:basedOn w:val="DefaultParagraphFont"/>
    <w:uiPriority w:val="99"/>
    <w:qFormat/>
    <w:rsid w:val="003F3CB7"/>
    <w:rPr>
      <w:rFonts w:cs="Times New Roman"/>
      <w:b/>
    </w:rPr>
  </w:style>
  <w:style w:type="character" w:styleId="Hyperlink">
    <w:name w:val="Hyperlink"/>
    <w:basedOn w:val="DefaultParagraphFont"/>
    <w:uiPriority w:val="99"/>
    <w:unhideWhenUsed/>
    <w:rsid w:val="005675A3"/>
    <w:rPr>
      <w:color w:val="0563C1" w:themeColor="hyperlink"/>
      <w:u w:val="single"/>
    </w:rPr>
  </w:style>
  <w:style w:type="character" w:styleId="FollowedHyperlink">
    <w:name w:val="FollowedHyperlink"/>
    <w:basedOn w:val="DefaultParagraphFont"/>
    <w:uiPriority w:val="99"/>
    <w:semiHidden/>
    <w:unhideWhenUsed/>
    <w:rsid w:val="005675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6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familie.gov.ro/1/proiecte-de-acte-normative-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MF171</dc:creator>
  <cp:keywords/>
  <dc:description/>
  <cp:lastModifiedBy>Andrei Stroe</cp:lastModifiedBy>
  <cp:revision>2</cp:revision>
  <cp:lastPrinted>2023-12-06T08:38:00Z</cp:lastPrinted>
  <dcterms:created xsi:type="dcterms:W3CDTF">2023-12-06T13:32:00Z</dcterms:created>
  <dcterms:modified xsi:type="dcterms:W3CDTF">2023-12-06T13:32:00Z</dcterms:modified>
</cp:coreProperties>
</file>